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300" w:lineRule="atLeast"/>
        <w:jc w:val="right"/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ело № 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363</w:t>
      </w:r>
      <w:r>
        <w:rPr>
          <w:rFonts w:ascii="Times New Roman" w:eastAsia="Times New Roman" w:hAnsi="Times New Roman" w:cs="Times New Roman"/>
          <w:sz w:val="28"/>
          <w:szCs w:val="28"/>
        </w:rPr>
        <w:t>-2610</w:t>
      </w:r>
      <w:r>
        <w:rPr>
          <w:rFonts w:ascii="Times New Roman" w:eastAsia="Times New Roman" w:hAnsi="Times New Roman" w:cs="Times New Roman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</w:t>
      </w:r>
    </w:p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ind w:firstLine="567"/>
        <w:rPr>
          <w:sz w:val="28"/>
          <w:szCs w:val="28"/>
        </w:rPr>
      </w:pPr>
    </w:p>
    <w:p>
      <w:pPr>
        <w:spacing w:before="0" w:after="0"/>
        <w:ind w:firstLine="567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Style w:val="cat-Addressgrp-0rplc-1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Король Е.П., находящ</w:t>
      </w:r>
      <w:r>
        <w:rPr>
          <w:rFonts w:ascii="Times New Roman" w:eastAsia="Times New Roman" w:hAnsi="Times New Roman" w:cs="Times New Roman"/>
          <w:sz w:val="28"/>
          <w:szCs w:val="28"/>
        </w:rPr>
        <w:t>егося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2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205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рассмотрев материалы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Василенко Кирилла Александровича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родившегося </w:t>
      </w:r>
      <w:r>
        <w:rPr>
          <w:rStyle w:val="cat-ExternalSystemDefinedgrp-27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</w:t>
      </w:r>
      <w:r>
        <w:rPr>
          <w:rStyle w:val="cat-Addressgrp-3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гражданина </w:t>
      </w:r>
      <w:r>
        <w:rPr>
          <w:rFonts w:ascii="Times New Roman" w:eastAsia="Times New Roman" w:hAnsi="Times New Roman" w:cs="Times New Roman"/>
          <w:sz w:val="28"/>
          <w:szCs w:val="28"/>
        </w:rPr>
        <w:t>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проживающего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месту регистрации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Style w:val="cat-PassportDatagrp-22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26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28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работающего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UserDefinedgrp-29rplc-12"/>
          <w:rFonts w:ascii="Times New Roman" w:eastAsia="Times New Roman" w:hAnsi="Times New Roman" w:cs="Times New Roman"/>
          <w:sz w:val="28"/>
          <w:szCs w:val="28"/>
        </w:rPr>
        <w:t>.*****..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, предусмотренно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eastAsia="Times New Roman" w:hAnsi="Times New Roman" w:cs="Times New Roman"/>
          <w:sz w:val="28"/>
          <w:szCs w:val="28"/>
        </w:rPr>
        <w:t>12.12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01.02.2025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Timegrp-23rplc-14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Василенко К.А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Addressgrp-0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Style w:val="cat-Addressgrp-5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управляя т/с </w:t>
      </w:r>
      <w:r>
        <w:rPr>
          <w:rFonts w:ascii="Times New Roman" w:eastAsia="Times New Roman" w:hAnsi="Times New Roman" w:cs="Times New Roman"/>
          <w:sz w:val="28"/>
          <w:szCs w:val="28"/>
        </w:rPr>
        <w:t>Санг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4rplc-1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Style w:val="cat-CarNumbergrp-24rplc-20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осуществил проезд регулируемого перекрестка на запрещающий сигнал светофора, а именно при выключенном сигнале дополнительной секции светофора осуществил проезд в направлении, регулируемом этой секции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повторно</w:t>
      </w:r>
      <w:r>
        <w:rPr>
          <w:rFonts w:ascii="Times New Roman" w:eastAsia="Times New Roman" w:hAnsi="Times New Roman" w:cs="Times New Roman"/>
          <w:sz w:val="28"/>
          <w:szCs w:val="28"/>
        </w:rPr>
        <w:t>. Данное обстоятельство послужило основанием для составления в отношении него 01.02.2025 года протокола об административном правонарушении по ч. 3 ст. 12.12 КоАП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рассмотрении дела об административном правонарушении привлекаемый, будучи извещенны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надлежащим образом о времени и месте судебного разбирательства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присутствовал,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письменном заявлении просил рассмотреть дело в его отсутствие, указав, что вину признает, раскаивается. 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  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сследовав материалы дела, мировой судья приходит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hyperlink r:id="rId4" w:anchor="/document/1305770/entry/10001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п.1.3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Правил Дорожного Движения РФ, участники дорожного движения обязаны знать и соблюдать относящиеся к ним требования Правил, сигналов светофоров, знаков и разметки.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hyperlink r:id="rId4" w:anchor="/document/12125267/entry/1212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3 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12.12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повторное совершение административного правонарушения, предусмотренного частью 1 настоящей </w:t>
      </w:r>
      <w:r>
        <w:rPr>
          <w:rFonts w:ascii="Times New Roman" w:eastAsia="Times New Roman" w:hAnsi="Times New Roman" w:cs="Times New Roman"/>
          <w:sz w:val="28"/>
          <w:szCs w:val="28"/>
        </w:rPr>
        <w:t>статьи,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</w:t>
      </w:r>
      <w:hyperlink r:id="rId4" w:anchor="/document/12125267/entry/12120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ч.1 ст.12.12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проезд на запрещающий сигнал светофора или на запрещающий жест регулировщика, за исключением случаев, предусмотренных </w:t>
      </w:r>
      <w:hyperlink r:id="rId4" w:anchor="/document/12125267/entry/12100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1 статьи 12.10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и частью 2 настоящей статьи, влечет наложение административного штрафа в размере одной тысячи рублей.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hyperlink r:id="rId4" w:anchor="/document/1305770/entry/6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6.2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ПДД РФ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руглые сигналы светофора имеют следующие значения: зеленый сигнал разрешает движение; зеленый мигающий сигнал разрешает движение и информирует, что время его действия истекает и вскоре будет включен запрещающий сигнал (для информирования водителей о времени в секундах,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остающемся до конца горения зеленого сигнала, могут применяться цифровые табло); желтый сигнал запрещает движение, кроме случаев, предусмотренных </w:t>
      </w:r>
      <w:hyperlink r:id="rId5" w:anchor="/document/1305770/entry/61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пунктом 6.14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Правил, и предупреждает о предстоящей смене сигналов; желтый мигающий сигнал разрешает движение и информирует о наличии нерегулируемого </w:t>
      </w:r>
      <w:hyperlink r:id="rId5" w:anchor="/document/1305770/entry/10029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перекрестка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hyperlink r:id="rId5" w:anchor="/document/1305770/entry/1004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пешеходного перехода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предупреждает об опасности; красный сигнал, в том числе мигающий, запрещает движение. Сочетание красного и желтого сигналов запрещает движение и информирует о предстоящем включении зеленого сигнала.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hyperlink r:id="rId4" w:anchor="/document/1305770/entry/4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.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6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дорожного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движения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 сигналы светофора, выполненные в виде стрелок красного, желтого и зеленого цветов, имеют то же значение, что и круглые сигналы соответствующего цвета, но их действие распространяется только на направление (направления), указываемое стрелками. При этом стрелка, разрешающая поворот налево, разрешает и разворот, если это не запрещено соответствующим дорожным знаком. Такое же значение имеет зеленая стрелка в дополнительной секции. Выключенный сигнал дополнительной секции означает запрещение движения в направлении, регулируемом этой секцией.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Василенко К.А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 подтверждается исследованными по делу доказательствами: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86 ХМ </w:t>
      </w:r>
      <w:r>
        <w:rPr>
          <w:rStyle w:val="cat-PhoneNumbergrp-25rplc-25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административном правонарушении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01.02.2025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рапортом ИДПС ОБДПС Госавтоинспекции УМВД России по </w:t>
      </w:r>
      <w:r>
        <w:rPr>
          <w:rStyle w:val="cat-Addressgrp-0rplc-2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01.02.2025 года; </w:t>
      </w:r>
      <w:r>
        <w:rPr>
          <w:rFonts w:ascii="Times New Roman" w:eastAsia="Times New Roman" w:hAnsi="Times New Roman" w:cs="Times New Roman"/>
          <w:sz w:val="28"/>
          <w:szCs w:val="28"/>
        </w:rPr>
        <w:t>карточкой операции с ВУ;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карточкой учета ТС; </w:t>
      </w:r>
      <w:r>
        <w:rPr>
          <w:rFonts w:ascii="Times New Roman" w:eastAsia="Times New Roman" w:hAnsi="Times New Roman" w:cs="Times New Roman"/>
          <w:sz w:val="28"/>
          <w:szCs w:val="28"/>
        </w:rPr>
        <w:t>реестром правонарушений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постановления 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18810086210001747798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29.05.2023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о назначении 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наказания по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 12.12 К</w:t>
      </w:r>
      <w:r>
        <w:rPr>
          <w:rFonts w:ascii="Times New Roman" w:eastAsia="Times New Roman" w:hAnsi="Times New Roman" w:cs="Times New Roman"/>
          <w:sz w:val="28"/>
          <w:szCs w:val="28"/>
        </w:rPr>
        <w:t>оАП РФ в виде штрафа в размере 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00,00 рублей, вступившим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09.06.2023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сведениями ГИС ГМП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том, что штраф по постановлению от 29.05.2023 года им не оплачен; </w:t>
      </w:r>
      <w:r>
        <w:rPr>
          <w:rFonts w:ascii="Times New Roman" w:eastAsia="Times New Roman" w:hAnsi="Times New Roman" w:cs="Times New Roman"/>
          <w:sz w:val="28"/>
          <w:szCs w:val="28"/>
        </w:rPr>
        <w:t>режимом работы светофора СО № 113 (</w:t>
      </w:r>
      <w:r>
        <w:rPr>
          <w:rStyle w:val="cat-Addressgrp-6rplc-3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Style w:val="cat-Addressgrp-7rplc-3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>CD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диском с видеозаписью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совершенного нарушения.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Оснований ставить под сомнение достоверность исследованных в судебном заседании доказательств </w:t>
      </w:r>
      <w:r>
        <w:rPr>
          <w:rFonts w:ascii="Times New Roman" w:eastAsia="Times New Roman" w:hAnsi="Times New Roman" w:cs="Times New Roman"/>
          <w:sz w:val="28"/>
          <w:szCs w:val="28"/>
        </w:rPr>
        <w:t>у мировой судьи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имеется, поскольку они не вызывают сомнений в их объективности, последовательны, не противоречивы, протокол об административном правонарушении составлен в соответствии с требованиями </w:t>
      </w:r>
      <w:hyperlink r:id="rId4" w:anchor="/document/12125267/entry/28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ст.28.2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совокупности, исследованные по делу доказательства, суд приходит к выводу о том,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Василенко К.А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 установлена, полностью доказана и его действия правильно квалифицированы по </w:t>
      </w:r>
      <w:hyperlink r:id="rId4" w:anchor="/document/12125267/entry/1212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3 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12.12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исключающих производство по делу об административном правонарушении и возможность рассмотрения дела, не имеется.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Обстоятельством, смягчающим административную ответственность, является признание </w:t>
      </w:r>
      <w:r>
        <w:rPr>
          <w:rFonts w:ascii="Times New Roman" w:eastAsia="Times New Roman" w:hAnsi="Times New Roman" w:cs="Times New Roman"/>
          <w:sz w:val="28"/>
          <w:szCs w:val="28"/>
        </w:rPr>
        <w:t>Василенко К.А</w:t>
      </w:r>
      <w:r>
        <w:rPr>
          <w:rFonts w:ascii="Times New Roman" w:eastAsia="Times New Roman" w:hAnsi="Times New Roman" w:cs="Times New Roman"/>
          <w:sz w:val="28"/>
          <w:szCs w:val="28"/>
        </w:rPr>
        <w:t>. вины,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раскаяние </w:t>
      </w:r>
      <w:r>
        <w:rPr>
          <w:rFonts w:ascii="Times New Roman" w:eastAsia="Times New Roman" w:hAnsi="Times New Roman" w:cs="Times New Roman"/>
          <w:sz w:val="28"/>
          <w:szCs w:val="28"/>
        </w:rPr>
        <w:t>в содеянном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Обстоятельством, отягчающим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 суд признает повторное совершение однородного административного правонарушения в течении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деяния, обстоятельства его совершения, данные о личности нарушителя, а также цели и задачи административного наказания и приходит к выводу о необходимости назначения наказания в виде 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29.9-29.11 КоАП РФ, мировой судья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567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Василенко Кирилла Александровича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правонарушения, предусмотренного ч. 3 ст. 12.12 КоАП РФ и подвергнуть наказанию в виде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7 500,00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подлежит уплате по реквизитам: согласно извещению (форма № ПД-4) приложение к постановлению.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Неуплата административного штрафа в установленный законом срок влечет административную ответственность по ч. 1 ст. 20.25 КоАП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Копию квитанции об оплате административного штрафа необходимо представить по адресу: </w:t>
      </w:r>
      <w:r>
        <w:rPr>
          <w:rStyle w:val="cat-Addressgrp-2rplc-3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Сургутский городской суд путем подачи жалобы через миро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в течение десяти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Е.П. Король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«Копия верна»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Е.П. Король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sectPr>
      <w:footerReference w:type="default" r:id="rId6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72456297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ExternalSystemDefinedgrp-27rplc-6">
    <w:name w:val="cat-ExternalSystemDefined grp-27 rplc-6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PassportDatagrp-22rplc-9">
    <w:name w:val="cat-PassportData grp-22 rplc-9"/>
    <w:basedOn w:val="DefaultParagraphFont"/>
  </w:style>
  <w:style w:type="character" w:customStyle="1" w:styleId="cat-ExternalSystemDefinedgrp-26rplc-10">
    <w:name w:val="cat-ExternalSystemDefined grp-26 rplc-10"/>
    <w:basedOn w:val="DefaultParagraphFont"/>
  </w:style>
  <w:style w:type="character" w:customStyle="1" w:styleId="cat-ExternalSystemDefinedgrp-28rplc-11">
    <w:name w:val="cat-ExternalSystemDefined grp-28 rplc-11"/>
    <w:basedOn w:val="DefaultParagraphFont"/>
  </w:style>
  <w:style w:type="character" w:customStyle="1" w:styleId="cat-UserDefinedgrp-29rplc-12">
    <w:name w:val="cat-UserDefined grp-29 rplc-12"/>
    <w:basedOn w:val="DefaultParagraphFont"/>
  </w:style>
  <w:style w:type="character" w:customStyle="1" w:styleId="cat-Timegrp-23rplc-14">
    <w:name w:val="cat-Time grp-23 rplc-14"/>
    <w:basedOn w:val="DefaultParagraphFont"/>
  </w:style>
  <w:style w:type="character" w:customStyle="1" w:styleId="cat-Addressgrp-0rplc-16">
    <w:name w:val="cat-Address grp-0 rplc-16"/>
    <w:basedOn w:val="DefaultParagraphFont"/>
  </w:style>
  <w:style w:type="character" w:customStyle="1" w:styleId="cat-Addressgrp-5rplc-17">
    <w:name w:val="cat-Address grp-5 rplc-17"/>
    <w:basedOn w:val="DefaultParagraphFont"/>
  </w:style>
  <w:style w:type="character" w:customStyle="1" w:styleId="cat-Addressgrp-4rplc-19">
    <w:name w:val="cat-Address grp-4 rplc-19"/>
    <w:basedOn w:val="DefaultParagraphFont"/>
  </w:style>
  <w:style w:type="character" w:customStyle="1" w:styleId="cat-CarNumbergrp-24rplc-20">
    <w:name w:val="cat-CarNumber grp-24 rplc-20"/>
    <w:basedOn w:val="DefaultParagraphFont"/>
  </w:style>
  <w:style w:type="character" w:customStyle="1" w:styleId="cat-PhoneNumbergrp-25rplc-25">
    <w:name w:val="cat-PhoneNumber grp-25 rplc-25"/>
    <w:basedOn w:val="DefaultParagraphFont"/>
  </w:style>
  <w:style w:type="character" w:customStyle="1" w:styleId="cat-Addressgrp-0rplc-27">
    <w:name w:val="cat-Address grp-0 rplc-27"/>
    <w:basedOn w:val="DefaultParagraphFont"/>
  </w:style>
  <w:style w:type="character" w:customStyle="1" w:styleId="cat-Addressgrp-6rplc-33">
    <w:name w:val="cat-Address grp-6 rplc-33"/>
    <w:basedOn w:val="DefaultParagraphFont"/>
  </w:style>
  <w:style w:type="character" w:customStyle="1" w:styleId="cat-Addressgrp-7rplc-34">
    <w:name w:val="cat-Address grp-7 rplc-34"/>
    <w:basedOn w:val="DefaultParagraphFont"/>
  </w:style>
  <w:style w:type="character" w:customStyle="1" w:styleId="cat-Addressgrp-2rplc-39">
    <w:name w:val="cat-Address grp-2 rplc-39"/>
    <w:basedOn w:val="DefaultParagraphFont"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yperlink" Target="https://mobileonline.garant.ru/" TargetMode="External" /><Relationship Id="rId6" Type="http://schemas.openxmlformats.org/officeDocument/2006/relationships/footer" Target="footer1.xml" /><Relationship Id="rId7" Type="http://schemas.openxmlformats.org/officeDocument/2006/relationships/glossaryDocument" Target="glossary/document.xml" /><Relationship Id="rId8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8C122F-E554-4EFE-8ADA-AA9C03D88C92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